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AFF" w:rsidRPr="008E4C6F" w:rsidRDefault="00A62AFF" w:rsidP="00A62AFF">
      <w:pPr>
        <w:pBdr>
          <w:top w:val="single" w:sz="6" w:space="2" w:color="6F8D44"/>
          <w:bottom w:val="single" w:sz="6" w:space="2" w:color="6F8D44"/>
        </w:pBdr>
        <w:shd w:val="clear" w:color="auto" w:fill="6F8D44"/>
        <w:spacing w:after="0" w:line="240" w:lineRule="auto"/>
        <w:outlineLvl w:val="1"/>
        <w:rPr>
          <w:rFonts w:ascii="Verdana" w:eastAsia="Times New Roman" w:hAnsi="Verdana" w:cs="Times New Roman"/>
          <w:b/>
          <w:bCs/>
          <w:i/>
          <w:iCs/>
          <w:color w:val="EEF16C"/>
          <w:kern w:val="36"/>
          <w:sz w:val="21"/>
          <w:szCs w:val="21"/>
          <w:lang w:eastAsia="sk-SK"/>
        </w:rPr>
      </w:pPr>
      <w:r w:rsidRPr="008E4C6F">
        <w:rPr>
          <w:rFonts w:ascii="Verdana" w:eastAsia="Times New Roman" w:hAnsi="Verdana" w:cs="Times New Roman"/>
          <w:b/>
          <w:bCs/>
          <w:i/>
          <w:iCs/>
          <w:color w:val="EEF16C"/>
          <w:kern w:val="36"/>
          <w:sz w:val="21"/>
          <w:szCs w:val="21"/>
          <w:lang w:eastAsia="sk-SK"/>
        </w:rPr>
        <w:t>Pre budúcich stredoškolákov</w:t>
      </w:r>
    </w:p>
    <w:p w:rsidR="00A62AFF" w:rsidRPr="008E4C6F" w:rsidRDefault="00A62AFF" w:rsidP="00A62AFF">
      <w:pPr>
        <w:spacing w:after="0" w:line="240" w:lineRule="auto"/>
        <w:jc w:val="both"/>
        <w:rPr>
          <w:rFonts w:ascii="Verdana" w:eastAsia="Times New Roman" w:hAnsi="Verdana" w:cs="Times New Roman"/>
          <w:color w:val="000000"/>
          <w:sz w:val="17"/>
          <w:szCs w:val="17"/>
          <w:lang w:eastAsia="sk-SK"/>
        </w:rPr>
      </w:pPr>
    </w:p>
    <w:p w:rsidR="00A62AFF" w:rsidRPr="008E4C6F" w:rsidRDefault="00A62AFF" w:rsidP="00A62AFF">
      <w:pPr>
        <w:spacing w:after="0" w:line="240" w:lineRule="auto"/>
        <w:jc w:val="both"/>
        <w:rPr>
          <w:rFonts w:ascii="Verdana" w:eastAsia="Times New Roman" w:hAnsi="Verdana" w:cs="Times New Roman"/>
          <w:color w:val="000000"/>
          <w:sz w:val="18"/>
          <w:szCs w:val="18"/>
          <w:lang w:eastAsia="sk-SK"/>
        </w:rPr>
      </w:pPr>
      <w:r w:rsidRPr="008E4C6F">
        <w:rPr>
          <w:rFonts w:ascii="Verdana" w:eastAsia="Times New Roman" w:hAnsi="Verdana" w:cs="Times New Roman"/>
          <w:color w:val="000000"/>
          <w:sz w:val="18"/>
          <w:szCs w:val="18"/>
          <w:lang w:eastAsia="sk-SK"/>
        </w:rPr>
        <w:t xml:space="preserve">  </w:t>
      </w:r>
    </w:p>
    <w:p w:rsidR="00A62AFF" w:rsidRPr="008E4C6F" w:rsidRDefault="00A62AFF" w:rsidP="00A62AFF">
      <w:pPr>
        <w:pBdr>
          <w:bottom w:val="single" w:sz="12" w:space="4" w:color="6F8D44"/>
        </w:pBdr>
        <w:shd w:val="clear" w:color="auto" w:fill="F9FCDD"/>
        <w:spacing w:after="0" w:line="240" w:lineRule="auto"/>
        <w:outlineLvl w:val="1"/>
        <w:rPr>
          <w:rFonts w:ascii="Verdana" w:eastAsia="Times New Roman" w:hAnsi="Verdana" w:cs="Times New Roman"/>
          <w:b/>
          <w:bCs/>
          <w:i/>
          <w:iCs/>
          <w:color w:val="000000"/>
          <w:sz w:val="27"/>
          <w:szCs w:val="27"/>
          <w:lang w:eastAsia="sk-SK"/>
        </w:rPr>
      </w:pPr>
      <w:r w:rsidRPr="008E4C6F">
        <w:rPr>
          <w:rFonts w:ascii="Verdana" w:eastAsia="Times New Roman" w:hAnsi="Verdana" w:cs="Times New Roman"/>
          <w:b/>
          <w:bCs/>
          <w:i/>
          <w:iCs/>
          <w:color w:val="000000"/>
          <w:sz w:val="27"/>
          <w:szCs w:val="27"/>
          <w:lang w:eastAsia="sk-SK"/>
        </w:rPr>
        <w:t xml:space="preserve">Prijímanie uchádzačov do prvého ročníka stredných škôl - usmernenie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color w:val="000000"/>
          <w:sz w:val="18"/>
          <w:szCs w:val="18"/>
          <w:lang w:eastAsia="sk-SK"/>
        </w:rPr>
        <w:t xml:space="preserve">  </w:t>
      </w:r>
    </w:p>
    <w:p w:rsidR="00A62AFF" w:rsidRPr="008E4C6F" w:rsidRDefault="00A62AFF" w:rsidP="00A62AFF">
      <w:pPr>
        <w:spacing w:after="0" w:line="360" w:lineRule="auto"/>
        <w:jc w:val="both"/>
        <w:rPr>
          <w:rFonts w:ascii="Verdana" w:eastAsia="Times New Roman" w:hAnsi="Verdana" w:cs="Times New Roman"/>
          <w:color w:val="000000"/>
          <w:sz w:val="18"/>
          <w:szCs w:val="18"/>
          <w:lang w:eastAsia="sk-SK"/>
        </w:rPr>
      </w:pPr>
      <w:r w:rsidRPr="008E4C6F">
        <w:rPr>
          <w:rFonts w:ascii="Times New Roman" w:eastAsia="Times New Roman" w:hAnsi="Times New Roman" w:cs="Times New Roman"/>
          <w:color w:val="000000"/>
          <w:sz w:val="24"/>
          <w:szCs w:val="24"/>
          <w:lang w:eastAsia="sk-SK"/>
        </w:rPr>
        <w:t>Od 1. januára 2013 nadobúda účinnosť zákon Č. 324/2012 Z. z., ktorým sa mení a dopĺňa zákon Č. 184/2009 Z. z. o odbornom vzdelávaní a príprava o zmene a doplnení niektorých zákonov a ktorým sa menia a dopĺňajú niektoré zákony. V tejto súvislosti si Vás dovoľujeme upozorniť na dôležité zmeny, ktoré platia pre prijímanie žiakov do stredných škôl pre prijímacie skúšky konané v </w:t>
      </w:r>
      <w:r w:rsidRPr="008E4C6F">
        <w:rPr>
          <w:rFonts w:ascii="Times New Roman" w:eastAsia="Times New Roman" w:hAnsi="Times New Roman" w:cs="Times New Roman"/>
          <w:b/>
          <w:bCs/>
          <w:color w:val="000000"/>
          <w:sz w:val="24"/>
          <w:szCs w:val="24"/>
          <w:lang w:eastAsia="sk-SK"/>
        </w:rPr>
        <w:t>školskom roku 2012/2013</w:t>
      </w:r>
      <w:r w:rsidRPr="008E4C6F">
        <w:rPr>
          <w:rFonts w:ascii="Times New Roman" w:eastAsia="Times New Roman" w:hAnsi="Times New Roman" w:cs="Times New Roman"/>
          <w:color w:val="000000"/>
          <w:sz w:val="24"/>
          <w:szCs w:val="24"/>
          <w:lang w:eastAsia="sk-SK"/>
        </w:rPr>
        <w:t xml:space="preserve"> (žiaci prijímaní pre školský rok 2013/2014) . </w:t>
      </w:r>
    </w:p>
    <w:p w:rsidR="00A62AFF" w:rsidRPr="008E4C6F" w:rsidRDefault="00A62AFF" w:rsidP="00A62AFF">
      <w:pPr>
        <w:spacing w:after="0" w:line="360" w:lineRule="auto"/>
        <w:jc w:val="both"/>
        <w:rPr>
          <w:rFonts w:ascii="Verdana" w:eastAsia="Times New Roman" w:hAnsi="Verdana" w:cs="Times New Roman"/>
          <w:color w:val="000000"/>
          <w:sz w:val="18"/>
          <w:szCs w:val="18"/>
          <w:lang w:eastAsia="sk-SK"/>
        </w:rPr>
      </w:pPr>
      <w:r w:rsidRPr="008E4C6F">
        <w:rPr>
          <w:rFonts w:ascii="Times New Roman" w:eastAsia="Times New Roman" w:hAnsi="Times New Roman" w:cs="Times New Roman"/>
          <w:color w:val="000000"/>
          <w:sz w:val="24"/>
          <w:szCs w:val="24"/>
          <w:lang w:eastAsia="sk-SK"/>
        </w:rPr>
        <w:t xml:space="preserve">Bod 26. Čl. IX zákona Č. 32412012 Z. z. mení a dopĺňa § 65 ods. 3 zákona Č. 24512008 Z. z. o výchove a vzdelávaní (školský zákon) a o zmene a doplnení niektorých zákonov v znení neskorších predpisov (ďalej len "školský zákon") nasledovne: </w:t>
      </w:r>
    </w:p>
    <w:p w:rsidR="00A62AFF" w:rsidRPr="008E4C6F" w:rsidRDefault="00A62AFF" w:rsidP="00A62AFF">
      <w:pPr>
        <w:spacing w:after="0" w:line="360" w:lineRule="auto"/>
        <w:jc w:val="both"/>
        <w:rPr>
          <w:rFonts w:ascii="Verdana" w:eastAsia="Times New Roman" w:hAnsi="Verdana" w:cs="Times New Roman"/>
          <w:color w:val="000000"/>
          <w:sz w:val="18"/>
          <w:szCs w:val="18"/>
          <w:lang w:eastAsia="sk-SK"/>
        </w:rPr>
      </w:pPr>
      <w:r w:rsidRPr="008E4C6F">
        <w:rPr>
          <w:rFonts w:ascii="Times New Roman" w:eastAsia="Times New Roman" w:hAnsi="Times New Roman" w:cs="Times New Roman"/>
          <w:color w:val="000000"/>
          <w:sz w:val="24"/>
          <w:szCs w:val="24"/>
          <w:lang w:eastAsia="sk-SK"/>
        </w:rPr>
        <w:t xml:space="preserve">Bez prijímacej skúšky môžu byť uchádzači prijatí len do prvého ročníka strednej odbornej školy, odborného učilišťa alebo praktickej školy, ktorých úspešným absolvovaním žiak získa nižšie stredné odborné vzdelanie, strednej odbornej školy do najmenej trojročného a najviac štvorročného vzdelávacieho programu, ktorých úspešným absolvovaním žiak získa stredné odborné vzdelanie (viď. § 16 ods. 4 písm. a) a písm. b) školského zákona). </w:t>
      </w:r>
    </w:p>
    <w:p w:rsidR="00A62AFF" w:rsidRPr="008E4C6F" w:rsidRDefault="00A62AFF" w:rsidP="00A62AFF">
      <w:pPr>
        <w:spacing w:after="0" w:line="360" w:lineRule="auto"/>
        <w:jc w:val="both"/>
        <w:rPr>
          <w:rFonts w:ascii="Verdana" w:eastAsia="Times New Roman" w:hAnsi="Verdana" w:cs="Times New Roman"/>
          <w:color w:val="000000"/>
          <w:sz w:val="18"/>
          <w:szCs w:val="18"/>
          <w:lang w:eastAsia="sk-SK"/>
        </w:rPr>
      </w:pPr>
      <w:r w:rsidRPr="008E4C6F">
        <w:rPr>
          <w:rFonts w:ascii="Times New Roman" w:eastAsia="Times New Roman" w:hAnsi="Times New Roman" w:cs="Times New Roman"/>
          <w:color w:val="000000"/>
          <w:sz w:val="24"/>
          <w:szCs w:val="24"/>
          <w:lang w:eastAsia="sk-SK"/>
        </w:rPr>
        <w:t xml:space="preserve">Žiaci základnej školy prihlásení na vzdelávanie v študijných odboroch strednej školy (gymnázium, stredná odborná škola a konzervatórium) musia konať prijímacie skúšky okrem žiakov, ktorí v celoslovenskom testovaní žiakov deviateho ročníka základnej školy dosiahli v každom predmete samostatne úspešnosť najmenej 90%. Riaditeľ strednej školy v tomto prípade rozhoduje v zmysle § 65 ods. 4 školského zákona.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color w:val="000000"/>
          <w:sz w:val="18"/>
          <w:szCs w:val="18"/>
          <w:lang w:eastAsia="sk-SK"/>
        </w:rPr>
        <w:t xml:space="preserve">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b/>
          <w:bCs/>
          <w:i/>
          <w:iCs/>
          <w:color w:val="000000"/>
          <w:sz w:val="18"/>
          <w:lang w:eastAsia="sk-SK"/>
        </w:rPr>
        <w:t xml:space="preserve">Stredné vzdelanie sa člení na: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a</w:t>
      </w:r>
      <w:r w:rsidRPr="008E4C6F">
        <w:rPr>
          <w:rFonts w:ascii="Times New Roman" w:eastAsia="Times New Roman" w:hAnsi="Times New Roman" w:cs="Times New Roman"/>
          <w:b/>
          <w:bCs/>
          <w:i/>
          <w:iCs/>
          <w:color w:val="000000"/>
          <w:sz w:val="18"/>
          <w:lang w:eastAsia="sk-SK"/>
        </w:rPr>
        <w:t xml:space="preserve">) </w:t>
      </w:r>
      <w:r w:rsidRPr="008E4C6F">
        <w:rPr>
          <w:rFonts w:ascii="Times New Roman" w:eastAsia="Times New Roman" w:hAnsi="Times New Roman" w:cs="Times New Roman"/>
          <w:b/>
          <w:bCs/>
          <w:i/>
          <w:iCs/>
          <w:color w:val="000000"/>
          <w:sz w:val="18"/>
          <w:u w:val="single"/>
          <w:lang w:eastAsia="sk-SK"/>
        </w:rPr>
        <w:t>nižšie stredné odborné vzdelanie</w:t>
      </w:r>
      <w:r w:rsidRPr="008E4C6F">
        <w:rPr>
          <w:rFonts w:ascii="Times New Roman" w:eastAsia="Times New Roman" w:hAnsi="Times New Roman" w:cs="Times New Roman"/>
          <w:i/>
          <w:iCs/>
          <w:color w:val="000000"/>
          <w:sz w:val="18"/>
          <w:lang w:eastAsia="sk-SK"/>
        </w:rPr>
        <w:t xml:space="preserve"> (nižšie sekundárne), ktoré získa žiak úspešným absolvovaním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dvojročného vzdelávacieho programu v strednej odbornej škole alebo úspešným absolvovaním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vzdelávacieho programu v odbornom učilišti, ktorý sa ukončuje záverečnou skúškou; dokladom o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získanom stupni vzdelania a zároveň o získanej kvalifikácii je vysvedčenie o záverečnej skúške; v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učebných odboroch určených štátnym vzdelávacím programom môže byť dokladom o získanej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kvalifikácii aj výučný list,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b</w:t>
      </w:r>
      <w:r w:rsidRPr="008E4C6F">
        <w:rPr>
          <w:rFonts w:ascii="Times New Roman" w:eastAsia="Times New Roman" w:hAnsi="Times New Roman" w:cs="Times New Roman"/>
          <w:b/>
          <w:bCs/>
          <w:i/>
          <w:iCs/>
          <w:color w:val="000000"/>
          <w:sz w:val="18"/>
          <w:lang w:eastAsia="sk-SK"/>
        </w:rPr>
        <w:t xml:space="preserve">) </w:t>
      </w:r>
      <w:r w:rsidRPr="008E4C6F">
        <w:rPr>
          <w:rFonts w:ascii="Times New Roman" w:eastAsia="Times New Roman" w:hAnsi="Times New Roman" w:cs="Times New Roman"/>
          <w:b/>
          <w:bCs/>
          <w:i/>
          <w:iCs/>
          <w:color w:val="000000"/>
          <w:sz w:val="18"/>
          <w:u w:val="single"/>
          <w:lang w:eastAsia="sk-SK"/>
        </w:rPr>
        <w:t>stredné odborné vzdelanie</w:t>
      </w:r>
      <w:r w:rsidRPr="008E4C6F">
        <w:rPr>
          <w:rFonts w:ascii="Times New Roman" w:eastAsia="Times New Roman" w:hAnsi="Times New Roman" w:cs="Times New Roman"/>
          <w:i/>
          <w:iCs/>
          <w:color w:val="000000"/>
          <w:sz w:val="18"/>
          <w:lang w:eastAsia="sk-SK"/>
        </w:rPr>
        <w:t xml:space="preserve"> (sekundárne), ktoré získa žiak úspešným absolvovaním trojročného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alebo štvorročného vzdelávacieho programu v strednej odbornej škole, ktorý sa ukončuje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záverečnou skúškou; dokladom o získanom stupni vzdelania je vysvedčenie o záverečnej skúške s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doložkou a dokladom o získanej kvalifikácii je výučný list,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c) </w:t>
      </w:r>
      <w:r w:rsidRPr="008E4C6F">
        <w:rPr>
          <w:rFonts w:ascii="Times New Roman" w:eastAsia="Times New Roman" w:hAnsi="Times New Roman" w:cs="Times New Roman"/>
          <w:b/>
          <w:bCs/>
          <w:i/>
          <w:iCs/>
          <w:color w:val="000000"/>
          <w:sz w:val="18"/>
          <w:u w:val="single"/>
          <w:lang w:eastAsia="sk-SK"/>
        </w:rPr>
        <w:t>úplné stredné všeobecné vzdelanie</w:t>
      </w:r>
      <w:r w:rsidRPr="008E4C6F">
        <w:rPr>
          <w:rFonts w:ascii="Times New Roman" w:eastAsia="Times New Roman" w:hAnsi="Times New Roman" w:cs="Times New Roman"/>
          <w:i/>
          <w:iCs/>
          <w:color w:val="000000"/>
          <w:sz w:val="18"/>
          <w:lang w:eastAsia="sk-SK"/>
        </w:rPr>
        <w:t xml:space="preserve"> (vyššie sekundárne), ktoré získa žiak úspešným absolvovaním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štvorročného až osemročného vzdelávacieho programu v gymnáziu, ktorý sa ukončuje maturitnou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skúškou; dokladom o získanom stupni vzdelania je vysvedčenie o maturitnej skúške,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d) </w:t>
      </w:r>
      <w:r w:rsidRPr="008E4C6F">
        <w:rPr>
          <w:rFonts w:ascii="Times New Roman" w:eastAsia="Times New Roman" w:hAnsi="Times New Roman" w:cs="Times New Roman"/>
          <w:b/>
          <w:bCs/>
          <w:i/>
          <w:iCs/>
          <w:color w:val="000000"/>
          <w:sz w:val="18"/>
          <w:u w:val="single"/>
          <w:lang w:eastAsia="sk-SK"/>
        </w:rPr>
        <w:t>úplné stredné odborné vzdelanie</w:t>
      </w:r>
      <w:r w:rsidRPr="008E4C6F">
        <w:rPr>
          <w:rFonts w:ascii="Times New Roman" w:eastAsia="Times New Roman" w:hAnsi="Times New Roman" w:cs="Times New Roman"/>
          <w:i/>
          <w:iCs/>
          <w:color w:val="000000"/>
          <w:sz w:val="18"/>
          <w:lang w:eastAsia="sk-SK"/>
        </w:rPr>
        <w:t xml:space="preserve"> (vyššie sekundárne), ktoré získa žiak úspešným absolvovaním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štvorročného alebo päťročného vzdelávacieho programu v strednej odbornej škole, ktorý sa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ukončuje maturitnou skúškou; dokladom o získanom stupni vzdelania a zároveň o získanej </w:t>
      </w:r>
    </w:p>
    <w:p w:rsidR="00A62AFF" w:rsidRPr="008E4C6F" w:rsidRDefault="00A62AFF" w:rsidP="00A62AFF">
      <w:pPr>
        <w:spacing w:after="0" w:line="240" w:lineRule="auto"/>
        <w:jc w:val="both"/>
        <w:rPr>
          <w:rFonts w:ascii="Times New Roman" w:eastAsia="Times New Roman" w:hAnsi="Times New Roman" w:cs="Times New Roman"/>
          <w:color w:val="000000"/>
          <w:sz w:val="18"/>
          <w:szCs w:val="18"/>
          <w:lang w:eastAsia="sk-SK"/>
        </w:rPr>
      </w:pPr>
      <w:r w:rsidRPr="008E4C6F">
        <w:rPr>
          <w:rFonts w:ascii="Times New Roman" w:eastAsia="Times New Roman" w:hAnsi="Times New Roman" w:cs="Times New Roman"/>
          <w:i/>
          <w:iCs/>
          <w:color w:val="000000"/>
          <w:sz w:val="18"/>
          <w:lang w:eastAsia="sk-SK"/>
        </w:rPr>
        <w:t xml:space="preserve">kvalifikácii je vysvedčenie o maturitnej skúške; v študijných odboroch určených štátnym </w:t>
      </w:r>
    </w:p>
    <w:p w:rsidR="00F0084B" w:rsidRDefault="00A62AFF" w:rsidP="00A62AFF">
      <w:r w:rsidRPr="008E4C6F">
        <w:rPr>
          <w:rFonts w:ascii="Times New Roman" w:eastAsia="Times New Roman" w:hAnsi="Times New Roman" w:cs="Times New Roman"/>
          <w:i/>
          <w:iCs/>
          <w:color w:val="000000"/>
          <w:sz w:val="18"/>
          <w:lang w:eastAsia="sk-SK"/>
        </w:rPr>
        <w:t>vzdelávacím programom môže by</w:t>
      </w:r>
    </w:p>
    <w:sectPr w:rsidR="00F0084B" w:rsidSect="00F008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2AFF"/>
    <w:rsid w:val="00A62AFF"/>
    <w:rsid w:val="00F0084B"/>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62AF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2703</Characters>
  <Application>Microsoft Office Word</Application>
  <DocSecurity>0</DocSecurity>
  <Lines>22</Lines>
  <Paragraphs>6</Paragraphs>
  <ScaleCrop>false</ScaleCrop>
  <Company>Hewlett-Packard</Company>
  <LinksUpToDate>false</LinksUpToDate>
  <CharactersWithSpaces>3171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cp:lastModifiedBy>
  <cp:revision>1</cp:revision>
  <dcterms:created xsi:type="dcterms:W3CDTF">2013-03-06T15:28:00Z</dcterms:created>
  <dcterms:modified xsi:type="dcterms:W3CDTF">2013-03-06T15:28:00Z</dcterms:modified>
</cp:coreProperties>
</file>